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058C4" w14:textId="75E75493" w:rsidR="001F6BF4" w:rsidRDefault="004046D2">
      <w:r>
        <w:t>CHE COSA ERA STATO DECISO DAL SECONDO COLLEGIO DI SETTEMBRE 2022 per il POF 2022-23</w:t>
      </w:r>
    </w:p>
    <w:p w14:paraId="30BD945E" w14:textId="47DAD990" w:rsidR="004046D2" w:rsidRDefault="004046D2"/>
    <w:p w14:paraId="31D94A32" w14:textId="3A3F33BB" w:rsidR="009814F5" w:rsidRDefault="009814F5">
      <w:r>
        <w:t xml:space="preserve">Le dieci parole chiave del </w:t>
      </w:r>
      <w:proofErr w:type="spellStart"/>
      <w:r>
        <w:t>Ptof</w:t>
      </w:r>
      <w:proofErr w:type="spellEnd"/>
      <w:r>
        <w:t xml:space="preserve"> 2022-2025</w:t>
      </w:r>
    </w:p>
    <w:p w14:paraId="25B07037" w14:textId="7CCDBB4E" w:rsidR="009814F5" w:rsidRDefault="009814F5"/>
    <w:p w14:paraId="7B978A8E" w14:textId="77777777" w:rsidR="009814F5" w:rsidRDefault="009814F5"/>
    <w:p w14:paraId="52FD73EB" w14:textId="6054D00B" w:rsidR="009814F5" w:rsidRDefault="009814F5"/>
    <w:p w14:paraId="30BE0F63" w14:textId="06611732" w:rsidR="009814F5" w:rsidRDefault="009814F5"/>
    <w:p w14:paraId="55C37E8D" w14:textId="77777777" w:rsidR="009814F5" w:rsidRDefault="009814F5"/>
    <w:p w14:paraId="1A05E8EC" w14:textId="5CBA2CBC" w:rsidR="004046D2" w:rsidRDefault="004046D2">
      <w:r>
        <w:t>Primaria</w:t>
      </w:r>
    </w:p>
    <w:p w14:paraId="27E42397" w14:textId="77777777" w:rsidR="004046D2" w:rsidRDefault="004046D2"/>
    <w:p w14:paraId="16C45ADC" w14:textId="05A452A6" w:rsidR="004046D2" w:rsidRPr="004046D2" w:rsidRDefault="004046D2">
      <w:pPr>
        <w:rPr>
          <w:u w:val="single"/>
        </w:rPr>
      </w:pPr>
      <w:r w:rsidRPr="004046D2">
        <w:rPr>
          <w:u w:val="single"/>
        </w:rPr>
        <w:t>Rossiglione e Tiglieto</w:t>
      </w:r>
    </w:p>
    <w:p w14:paraId="79CCA0D5" w14:textId="77777777" w:rsidR="004046D2" w:rsidRDefault="004046D2"/>
    <w:p w14:paraId="5AA7A4BF" w14:textId="77777777" w:rsidR="004046D2" w:rsidRDefault="004046D2" w:rsidP="004046D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5 PAROLE CHIAVE PER L' </w:t>
      </w:r>
      <w:proofErr w:type="spellStart"/>
      <w:r>
        <w:rPr>
          <w:rFonts w:ascii="Calibri" w:hAnsi="Calibri" w:cs="Calibri"/>
          <w:b/>
          <w:bCs/>
        </w:rPr>
        <w:t>a.s.</w:t>
      </w:r>
      <w:proofErr w:type="spellEnd"/>
      <w:r>
        <w:rPr>
          <w:rFonts w:ascii="Calibri" w:hAnsi="Calibri" w:cs="Calibri"/>
          <w:b/>
          <w:bCs/>
        </w:rPr>
        <w:t xml:space="preserve"> 2022-2023</w:t>
      </w:r>
    </w:p>
    <w:p w14:paraId="6C6806C8" w14:textId="77777777" w:rsidR="004046D2" w:rsidRDefault="004046D2" w:rsidP="004046D2"/>
    <w:p w14:paraId="6DD906DD" w14:textId="77777777" w:rsidR="004046D2" w:rsidRDefault="004046D2" w:rsidP="004046D2">
      <w:pPr>
        <w:pStyle w:val="TableContents"/>
        <w:rPr>
          <w:rFonts w:ascii="Calibri" w:hAnsi="Calibri" w:cs="Calibri"/>
        </w:rPr>
      </w:pPr>
      <w:r>
        <w:rPr>
          <w:rFonts w:ascii="Calibri" w:hAnsi="Calibri" w:cs="Calibri"/>
        </w:rPr>
        <w:t>1. Socialità</w:t>
      </w:r>
    </w:p>
    <w:p w14:paraId="39E92ED1" w14:textId="77777777" w:rsidR="004046D2" w:rsidRDefault="004046D2" w:rsidP="004046D2">
      <w:pPr>
        <w:pStyle w:val="TableContents"/>
        <w:rPr>
          <w:rFonts w:ascii="Calibri" w:hAnsi="Calibri" w:cs="Calibri"/>
        </w:rPr>
      </w:pPr>
      <w:r>
        <w:rPr>
          <w:rFonts w:ascii="Calibri" w:hAnsi="Calibri" w:cs="Calibri"/>
        </w:rPr>
        <w:t xml:space="preserve">  2. Correttezza dei ruoli e collaborazione</w:t>
      </w:r>
    </w:p>
    <w:p w14:paraId="41B5DC5F" w14:textId="77777777" w:rsidR="004046D2" w:rsidRDefault="004046D2" w:rsidP="004046D2">
      <w:pPr>
        <w:pStyle w:val="TableContents"/>
        <w:rPr>
          <w:rFonts w:ascii="Calibri" w:hAnsi="Calibri" w:cs="Calibri"/>
        </w:rPr>
      </w:pPr>
      <w:r>
        <w:rPr>
          <w:rFonts w:ascii="Calibri" w:hAnsi="Calibri" w:cs="Calibri"/>
        </w:rPr>
        <w:t xml:space="preserve">  3. Essenzialità</w:t>
      </w:r>
    </w:p>
    <w:p w14:paraId="78D3F72F" w14:textId="77777777" w:rsidR="004046D2" w:rsidRDefault="004046D2" w:rsidP="004046D2">
      <w:pPr>
        <w:pStyle w:val="TableContents"/>
        <w:rPr>
          <w:rFonts w:ascii="Calibri" w:hAnsi="Calibri" w:cs="Calibri"/>
        </w:rPr>
      </w:pPr>
      <w:r>
        <w:rPr>
          <w:rFonts w:ascii="Calibri" w:hAnsi="Calibri" w:cs="Calibri"/>
        </w:rPr>
        <w:t xml:space="preserve">  4. Comportamenti corretti e sani</w:t>
      </w:r>
    </w:p>
    <w:p w14:paraId="76BEBBA2" w14:textId="77777777" w:rsidR="004046D2" w:rsidRDefault="004046D2" w:rsidP="004046D2">
      <w:pPr>
        <w:pStyle w:val="TableContents"/>
        <w:rPr>
          <w:rFonts w:ascii="Calibri" w:hAnsi="Calibri" w:cs="Calibri"/>
        </w:rPr>
      </w:pPr>
      <w:r>
        <w:rPr>
          <w:rFonts w:ascii="Calibri" w:hAnsi="Calibri" w:cs="Calibri"/>
        </w:rPr>
        <w:t xml:space="preserve">  5. Consapevolezza</w:t>
      </w:r>
    </w:p>
    <w:p w14:paraId="36FB1D81" w14:textId="77777777" w:rsidR="004046D2" w:rsidRDefault="004046D2"/>
    <w:p w14:paraId="2C96035C" w14:textId="77777777" w:rsidR="004046D2" w:rsidRDefault="004046D2"/>
    <w:p w14:paraId="65F59985" w14:textId="43FCFE0F" w:rsidR="004046D2" w:rsidRDefault="004046D2">
      <w:r>
        <w:t>Campo Ligure</w:t>
      </w:r>
    </w:p>
    <w:p w14:paraId="5A172423" w14:textId="77777777" w:rsidR="004046D2" w:rsidRDefault="004046D2"/>
    <w:p w14:paraId="418D820A" w14:textId="77777777" w:rsidR="004046D2" w:rsidRDefault="004046D2" w:rsidP="004046D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Calibri"/>
        </w:rPr>
      </w:pPr>
      <w:r>
        <w:rPr>
          <w:rFonts w:cs="Calibri"/>
        </w:rPr>
        <w:t>d)5 parole chiave per 2022-</w:t>
      </w:r>
      <w:proofErr w:type="gramStart"/>
      <w:r>
        <w:rPr>
          <w:rFonts w:cs="Calibri"/>
        </w:rPr>
        <w:t>23 :</w:t>
      </w:r>
      <w:proofErr w:type="gramEnd"/>
      <w:r>
        <w:rPr>
          <w:rFonts w:cs="Calibri"/>
        </w:rPr>
        <w:t xml:space="preserve"> </w:t>
      </w:r>
    </w:p>
    <w:p w14:paraId="7DEB6E48" w14:textId="77777777" w:rsidR="004046D2" w:rsidRDefault="004046D2" w:rsidP="004046D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Calibri"/>
        </w:rPr>
      </w:pPr>
      <w:r>
        <w:rPr>
          <w:rFonts w:cs="Calibri"/>
        </w:rPr>
        <w:t>TERRITORIO-</w:t>
      </w:r>
    </w:p>
    <w:p w14:paraId="3CA1C5F6" w14:textId="77777777" w:rsidR="004046D2" w:rsidRDefault="004046D2" w:rsidP="004046D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Calibri"/>
        </w:rPr>
      </w:pPr>
      <w:r>
        <w:rPr>
          <w:rFonts w:cs="Calibri"/>
        </w:rPr>
        <w:t xml:space="preserve">INCLUSIVITA’- </w:t>
      </w:r>
    </w:p>
    <w:p w14:paraId="5F30A88A" w14:textId="77777777" w:rsidR="004046D2" w:rsidRDefault="004046D2" w:rsidP="004046D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Calibri"/>
        </w:rPr>
      </w:pPr>
      <w:r>
        <w:rPr>
          <w:rFonts w:cs="Calibri"/>
        </w:rPr>
        <w:t>SOCIALITA’-</w:t>
      </w:r>
    </w:p>
    <w:p w14:paraId="75074E33" w14:textId="77777777" w:rsidR="004046D2" w:rsidRDefault="004046D2" w:rsidP="004046D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Calibri"/>
        </w:rPr>
      </w:pPr>
      <w:r>
        <w:rPr>
          <w:rFonts w:cs="Calibri"/>
        </w:rPr>
        <w:t>RISPETTO-</w:t>
      </w:r>
    </w:p>
    <w:p w14:paraId="292AA303" w14:textId="68BEA686" w:rsidR="004046D2" w:rsidRDefault="004046D2" w:rsidP="004046D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Calibri"/>
        </w:rPr>
      </w:pPr>
      <w:r>
        <w:rPr>
          <w:rFonts w:cs="Calibri"/>
        </w:rPr>
        <w:t>CONDIVISIONE.</w:t>
      </w:r>
    </w:p>
    <w:p w14:paraId="4E90EEEC" w14:textId="77777777" w:rsidR="004046D2" w:rsidRDefault="004046D2"/>
    <w:p w14:paraId="0B40768D" w14:textId="77777777" w:rsidR="004046D2" w:rsidRDefault="004046D2"/>
    <w:p w14:paraId="0AA28C83" w14:textId="5630E405" w:rsidR="004046D2" w:rsidRDefault="004046D2">
      <w:r>
        <w:t>Masone</w:t>
      </w:r>
    </w:p>
    <w:p w14:paraId="555E0DE0" w14:textId="77777777" w:rsidR="004046D2" w:rsidRDefault="004046D2"/>
    <w:p w14:paraId="1AB45CE6" w14:textId="77777777" w:rsidR="004046D2" w:rsidRPr="009814F5" w:rsidRDefault="004046D2" w:rsidP="004046D2">
      <w:pPr>
        <w:pStyle w:val="Paragrafoelenco"/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bCs/>
        </w:rPr>
      </w:pPr>
      <w:r w:rsidRPr="009814F5">
        <w:rPr>
          <w:bCs/>
        </w:rPr>
        <w:t>Valutazione</w:t>
      </w:r>
    </w:p>
    <w:p w14:paraId="145CB66E" w14:textId="77777777" w:rsidR="004046D2" w:rsidRPr="009814F5" w:rsidRDefault="004046D2" w:rsidP="004046D2">
      <w:pPr>
        <w:pStyle w:val="Paragrafoelenco"/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bCs/>
        </w:rPr>
      </w:pPr>
      <w:r w:rsidRPr="009814F5">
        <w:rPr>
          <w:bCs/>
        </w:rPr>
        <w:t>Semplificazione</w:t>
      </w:r>
    </w:p>
    <w:p w14:paraId="5379B3B7" w14:textId="77777777" w:rsidR="004046D2" w:rsidRPr="009814F5" w:rsidRDefault="004046D2" w:rsidP="004046D2">
      <w:pPr>
        <w:pStyle w:val="Paragrafoelenco"/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bCs/>
        </w:rPr>
      </w:pPr>
      <w:r w:rsidRPr="009814F5">
        <w:rPr>
          <w:bCs/>
        </w:rPr>
        <w:t>Sostenibilità</w:t>
      </w:r>
    </w:p>
    <w:p w14:paraId="7D3D0C46" w14:textId="77777777" w:rsidR="004046D2" w:rsidRPr="009814F5" w:rsidRDefault="004046D2" w:rsidP="004046D2">
      <w:pPr>
        <w:pStyle w:val="Paragrafoelenco"/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bCs/>
        </w:rPr>
      </w:pPr>
      <w:r w:rsidRPr="009814F5">
        <w:rPr>
          <w:bCs/>
        </w:rPr>
        <w:t>Cittadini responsabili</w:t>
      </w:r>
    </w:p>
    <w:p w14:paraId="2A0CCBFF" w14:textId="77777777" w:rsidR="004046D2" w:rsidRPr="009814F5" w:rsidRDefault="004046D2" w:rsidP="004046D2">
      <w:pPr>
        <w:pStyle w:val="Paragrafoelenco"/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bCs/>
        </w:rPr>
      </w:pPr>
      <w:r w:rsidRPr="009814F5">
        <w:rPr>
          <w:bCs/>
        </w:rPr>
        <w:t xml:space="preserve">Accoglienza </w:t>
      </w:r>
    </w:p>
    <w:p w14:paraId="47FAC523" w14:textId="77777777" w:rsidR="004046D2" w:rsidRDefault="004046D2" w:rsidP="004046D2">
      <w:pPr>
        <w:ind w:hanging="2"/>
        <w:rPr>
          <w:bCs/>
        </w:rPr>
      </w:pPr>
    </w:p>
    <w:p w14:paraId="07426F4C" w14:textId="77777777" w:rsidR="004046D2" w:rsidRDefault="004046D2"/>
    <w:p w14:paraId="5055D7D4" w14:textId="416FDC28" w:rsidR="004046D2" w:rsidRDefault="004046D2">
      <w:r>
        <w:t>Scuola Secondaria</w:t>
      </w:r>
    </w:p>
    <w:p w14:paraId="54692308" w14:textId="77777777" w:rsidR="004046D2" w:rsidRDefault="004046D2"/>
    <w:p w14:paraId="21AE2989" w14:textId="01547677" w:rsidR="004046D2" w:rsidRDefault="004046D2" w:rsidP="004046D2">
      <w:pPr>
        <w:pStyle w:val="Standard"/>
        <w:spacing w:line="276" w:lineRule="auto"/>
        <w:jc w:val="both"/>
      </w:pPr>
      <w:r>
        <w:t>Per il 2022-23  vengono suggerite le cinque seguenti:</w:t>
      </w:r>
    </w:p>
    <w:p w14:paraId="317C22B8" w14:textId="77777777" w:rsidR="004046D2" w:rsidRDefault="004046D2" w:rsidP="004046D2">
      <w:pPr>
        <w:pStyle w:val="Standard"/>
        <w:spacing w:line="276" w:lineRule="auto"/>
        <w:jc w:val="both"/>
      </w:pPr>
      <w:bookmarkStart w:id="0" w:name="_GoBack"/>
    </w:p>
    <w:p w14:paraId="024CBE4B" w14:textId="77777777" w:rsidR="004046D2" w:rsidRDefault="004046D2" w:rsidP="004046D2">
      <w:pPr>
        <w:pStyle w:val="Standard"/>
        <w:widowControl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essenzialità</w:t>
      </w:r>
      <w:r>
        <w:rPr>
          <w:color w:val="000000"/>
        </w:rPr>
        <w:t>;</w:t>
      </w:r>
    </w:p>
    <w:p w14:paraId="552D07BB" w14:textId="77777777" w:rsidR="004046D2" w:rsidRDefault="004046D2" w:rsidP="004046D2">
      <w:pPr>
        <w:pStyle w:val="Standard"/>
        <w:widowControl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umanesimo</w:t>
      </w:r>
      <w:r>
        <w:rPr>
          <w:color w:val="000000"/>
        </w:rPr>
        <w:t xml:space="preserve"> (attenzione alla persona e alla sua originalità);</w:t>
      </w:r>
    </w:p>
    <w:p w14:paraId="3B8E6B86" w14:textId="77777777" w:rsidR="004046D2" w:rsidRDefault="004046D2" w:rsidP="004046D2">
      <w:pPr>
        <w:pStyle w:val="Standard"/>
        <w:widowControl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passione</w:t>
      </w:r>
      <w:r>
        <w:rPr>
          <w:color w:val="000000"/>
        </w:rPr>
        <w:t xml:space="preserve"> (provocazione del coinvolgimento delle emozioni nell’esperienza scolastica);</w:t>
      </w:r>
    </w:p>
    <w:p w14:paraId="61BFD54F" w14:textId="77777777" w:rsidR="004046D2" w:rsidRDefault="004046D2" w:rsidP="004046D2">
      <w:pPr>
        <w:pStyle w:val="Standard"/>
        <w:widowControl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responsabilità</w:t>
      </w:r>
      <w:r>
        <w:rPr>
          <w:color w:val="000000"/>
        </w:rPr>
        <w:t xml:space="preserve"> (richiamo alla consapevolezza del ruolo personale, degli effetti delle proprie azioni…);</w:t>
      </w:r>
    </w:p>
    <w:p w14:paraId="17672B8B" w14:textId="77777777" w:rsidR="004046D2" w:rsidRDefault="004046D2" w:rsidP="004046D2">
      <w:pPr>
        <w:pStyle w:val="Standard"/>
        <w:widowControl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ambiente</w:t>
      </w:r>
      <w:r>
        <w:rPr>
          <w:color w:val="000000"/>
        </w:rPr>
        <w:t xml:space="preserve"> (nella varietà delle accezioni, dallo spazio naturale all’ambiente di apprendimento…).</w:t>
      </w:r>
    </w:p>
    <w:bookmarkEnd w:id="0"/>
    <w:p w14:paraId="6BFE1FED" w14:textId="77777777" w:rsidR="004046D2" w:rsidRDefault="004046D2" w:rsidP="004046D2">
      <w:pPr>
        <w:pStyle w:val="Standard"/>
        <w:spacing w:line="276" w:lineRule="auto"/>
        <w:jc w:val="both"/>
      </w:pPr>
    </w:p>
    <w:p w14:paraId="0F1BBC4A" w14:textId="77777777" w:rsidR="004046D2" w:rsidRDefault="004046D2" w:rsidP="004046D2">
      <w:pPr>
        <w:pStyle w:val="Standard"/>
        <w:spacing w:line="276" w:lineRule="auto"/>
        <w:jc w:val="both"/>
      </w:pPr>
      <w:r>
        <w:t xml:space="preserve">Tra gli aspetti cui dedicare particolare attenzione, i docenti ne individuano due, </w:t>
      </w:r>
      <w:r>
        <w:rPr>
          <w:b/>
          <w:bCs/>
        </w:rPr>
        <w:t>affettività/sessualità</w:t>
      </w:r>
      <w:r>
        <w:t xml:space="preserve"> e </w:t>
      </w:r>
      <w:r>
        <w:rPr>
          <w:b/>
          <w:bCs/>
        </w:rPr>
        <w:t>dipendenze</w:t>
      </w:r>
      <w:r>
        <w:t>, connessi con più ambiti del PTOF (crescita affettiva-emotiva…, educazione alla salute…) e chiedono di valutare le seguenti ipotesi:</w:t>
      </w:r>
    </w:p>
    <w:p w14:paraId="361319A8" w14:textId="77777777" w:rsidR="004046D2" w:rsidRDefault="004046D2" w:rsidP="004046D2">
      <w:pPr>
        <w:pStyle w:val="Standard"/>
        <w:spacing w:line="276" w:lineRule="auto"/>
        <w:jc w:val="both"/>
      </w:pPr>
    </w:p>
    <w:p w14:paraId="15CC1368" w14:textId="77777777" w:rsidR="004046D2" w:rsidRDefault="004046D2" w:rsidP="004046D2">
      <w:pPr>
        <w:pStyle w:val="Standard"/>
        <w:widowControl/>
        <w:numPr>
          <w:ilvl w:val="0"/>
          <w:numId w:val="3"/>
        </w:numPr>
        <w:spacing w:line="276" w:lineRule="auto"/>
        <w:jc w:val="both"/>
      </w:pPr>
      <w:r>
        <w:t xml:space="preserve">organizzazione di un </w:t>
      </w:r>
      <w:r>
        <w:rPr>
          <w:b/>
          <w:bCs/>
        </w:rPr>
        <w:t>percorso strutturato</w:t>
      </w:r>
      <w:r>
        <w:t xml:space="preserve">, </w:t>
      </w:r>
      <w:r>
        <w:rPr>
          <w:b/>
          <w:bCs/>
        </w:rPr>
        <w:t>biennale</w:t>
      </w:r>
      <w:r>
        <w:t xml:space="preserve">, rivolto ai ragazzi di </w:t>
      </w:r>
      <w:r>
        <w:rPr>
          <w:b/>
          <w:bCs/>
        </w:rPr>
        <w:t>2</w:t>
      </w:r>
      <w:r>
        <w:rPr>
          <w:b/>
          <w:bCs/>
          <w:vertAlign w:val="superscript"/>
        </w:rPr>
        <w:t>a</w:t>
      </w:r>
      <w:r>
        <w:rPr>
          <w:b/>
          <w:bCs/>
        </w:rPr>
        <w:t xml:space="preserve"> e 3</w:t>
      </w:r>
      <w:r>
        <w:rPr>
          <w:b/>
          <w:bCs/>
          <w:vertAlign w:val="superscript"/>
        </w:rPr>
        <w:t>a</w:t>
      </w:r>
      <w:r>
        <w:rPr>
          <w:b/>
          <w:bCs/>
        </w:rPr>
        <w:t xml:space="preserve"> media</w:t>
      </w:r>
      <w:r>
        <w:t>, sul tema dell’</w:t>
      </w:r>
      <w:r>
        <w:rPr>
          <w:b/>
          <w:bCs/>
        </w:rPr>
        <w:t>educazione all’affettività</w:t>
      </w:r>
      <w:r>
        <w:t xml:space="preserve"> e dell’</w:t>
      </w:r>
      <w:r>
        <w:rPr>
          <w:b/>
          <w:bCs/>
        </w:rPr>
        <w:t>educazione sessuale</w:t>
      </w:r>
      <w:r>
        <w:t>;</w:t>
      </w:r>
    </w:p>
    <w:p w14:paraId="51113A4C" w14:textId="77777777" w:rsidR="004046D2" w:rsidRDefault="004046D2" w:rsidP="004046D2">
      <w:pPr>
        <w:pStyle w:val="Standard"/>
        <w:widowControl/>
        <w:numPr>
          <w:ilvl w:val="0"/>
          <w:numId w:val="3"/>
        </w:numPr>
        <w:spacing w:line="276" w:lineRule="auto"/>
        <w:jc w:val="both"/>
      </w:pPr>
      <w:r>
        <w:t xml:space="preserve">costituzione di uno </w:t>
      </w:r>
      <w:r>
        <w:rPr>
          <w:b/>
          <w:bCs/>
        </w:rPr>
        <w:t>sportello d’ascolto</w:t>
      </w:r>
      <w:r>
        <w:t xml:space="preserve"> della scuola con personale che possa garantire un </w:t>
      </w:r>
      <w:r>
        <w:rPr>
          <w:b/>
          <w:bCs/>
        </w:rPr>
        <w:t>servizio</w:t>
      </w:r>
      <w:r>
        <w:t xml:space="preserve"> con cadenza </w:t>
      </w:r>
      <w:r>
        <w:rPr>
          <w:b/>
          <w:bCs/>
        </w:rPr>
        <w:t>regolare</w:t>
      </w:r>
      <w:r>
        <w:t>;</w:t>
      </w:r>
    </w:p>
    <w:p w14:paraId="1CF65452" w14:textId="77777777" w:rsidR="004046D2" w:rsidRDefault="004046D2" w:rsidP="004046D2">
      <w:pPr>
        <w:pStyle w:val="Standard"/>
        <w:widowControl/>
        <w:numPr>
          <w:ilvl w:val="0"/>
          <w:numId w:val="3"/>
        </w:numPr>
        <w:spacing w:line="276" w:lineRule="auto"/>
        <w:jc w:val="both"/>
      </w:pPr>
      <w:r>
        <w:t xml:space="preserve">organizzazione di un </w:t>
      </w:r>
      <w:r>
        <w:rPr>
          <w:b/>
          <w:bCs/>
        </w:rPr>
        <w:t>intervento</w:t>
      </w:r>
      <w:r>
        <w:t xml:space="preserve"> sul tema delle </w:t>
      </w:r>
      <w:r>
        <w:rPr>
          <w:b/>
          <w:bCs/>
        </w:rPr>
        <w:t>dipendenze</w:t>
      </w:r>
      <w:r>
        <w:t xml:space="preserve"> e di eventuali </w:t>
      </w:r>
      <w:r>
        <w:rPr>
          <w:b/>
          <w:bCs/>
        </w:rPr>
        <w:t>misure di soccorso</w:t>
      </w:r>
      <w:r>
        <w:t xml:space="preserve"> quando si verifichino </w:t>
      </w:r>
      <w:r>
        <w:rPr>
          <w:b/>
          <w:bCs/>
        </w:rPr>
        <w:t>abusi</w:t>
      </w:r>
      <w:r>
        <w:t xml:space="preserve"> di sostanze psicoattive.</w:t>
      </w:r>
    </w:p>
    <w:p w14:paraId="0901B5F5" w14:textId="77777777" w:rsidR="004046D2" w:rsidRDefault="004046D2"/>
    <w:p w14:paraId="7553FF99" w14:textId="77777777" w:rsidR="004046D2" w:rsidRDefault="004046D2"/>
    <w:sectPr w:rsidR="004046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74F7"/>
    <w:multiLevelType w:val="multilevel"/>
    <w:tmpl w:val="020A7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49E2144"/>
    <w:multiLevelType w:val="multilevel"/>
    <w:tmpl w:val="C8C6C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BC61F1E"/>
    <w:multiLevelType w:val="hybridMultilevel"/>
    <w:tmpl w:val="8ACAFFEE"/>
    <w:lvl w:ilvl="0" w:tplc="F7B6C5C0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D2"/>
    <w:rsid w:val="001F6BF4"/>
    <w:rsid w:val="00260E47"/>
    <w:rsid w:val="003C4AF8"/>
    <w:rsid w:val="004046D2"/>
    <w:rsid w:val="009814F5"/>
    <w:rsid w:val="00AB7354"/>
    <w:rsid w:val="00B815CB"/>
    <w:rsid w:val="00D13E48"/>
    <w:rsid w:val="00D7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F5DE"/>
  <w15:chartTrackingRefBased/>
  <w15:docId w15:val="{A76D4683-07E9-4FD6-955C-DF1A033D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Contents">
    <w:name w:val="Table Contents"/>
    <w:basedOn w:val="Normale"/>
    <w:rsid w:val="004046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Paragrafoelenco">
    <w:name w:val="List Paragraph"/>
    <w:basedOn w:val="Normale"/>
    <w:uiPriority w:val="34"/>
    <w:qFormat/>
    <w:rsid w:val="004046D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Calibri"/>
      <w:kern w:val="3"/>
      <w:sz w:val="20"/>
      <w:szCs w:val="20"/>
      <w:lang w:eastAsia="zh-CN" w:bidi="hi-IN"/>
      <w14:ligatures w14:val="none"/>
    </w:rPr>
  </w:style>
  <w:style w:type="paragraph" w:customStyle="1" w:styleId="Standard">
    <w:name w:val="Standard"/>
    <w:rsid w:val="004046D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0"/>
      <w:szCs w:val="20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GEIC81400G - IC VALLE STURA</dc:creator>
  <cp:keywords/>
  <dc:description/>
  <cp:lastModifiedBy>Ivana Ottonello</cp:lastModifiedBy>
  <cp:revision>3</cp:revision>
  <dcterms:created xsi:type="dcterms:W3CDTF">2023-08-18T09:42:00Z</dcterms:created>
  <dcterms:modified xsi:type="dcterms:W3CDTF">2023-08-19T18:26:00Z</dcterms:modified>
</cp:coreProperties>
</file>